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color w:val="000000"/>
          <w:sz w:val="52"/>
          <w:szCs w:val="52"/>
        </w:rPr>
      </w:pPr>
      <w:r>
        <w:rPr>
          <w:rFonts w:hint="eastAsia" w:ascii="黑体" w:eastAsia="黑体" w:cs="ArialUnicodeMS"/>
          <w:kern w:val="0"/>
          <w:sz w:val="52"/>
          <w:szCs w:val="52"/>
        </w:rPr>
        <w:t>中国民主建国会柳州市委员会</w:t>
      </w:r>
    </w:p>
    <w:p>
      <w:pPr>
        <w:jc w:val="center"/>
        <w:rPr>
          <w:rFonts w:ascii="黑体" w:eastAsia="黑体" w:cs="ArialUnicodeMS"/>
          <w:kern w:val="0"/>
          <w:sz w:val="52"/>
          <w:szCs w:val="52"/>
        </w:rPr>
      </w:pPr>
      <w:r>
        <w:rPr>
          <w:rFonts w:hint="eastAsia" w:ascii="黑体" w:eastAsia="黑体"/>
          <w:kern w:val="0"/>
          <w:sz w:val="52"/>
          <w:szCs w:val="52"/>
        </w:rPr>
        <w:t>2018</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第一部分：中国民主建国会柳州市委员会概况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第二部分：中国民主建国会柳州市委员会2018年部门决算报表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第三部分：中国民主建国会柳州市委员会2018年度部门决算情况说明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2018</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2018</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2018</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八、201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eastAsia="仿宋_GB2312"/>
          <w:kern w:val="0"/>
          <w:sz w:val="32"/>
          <w:szCs w:val="32"/>
          <w:lang w:val="en-US" w:eastAsia="zh-CN"/>
        </w:rPr>
        <w:t>九、</w:t>
      </w:r>
      <w:r>
        <w:rPr>
          <w:rFonts w:hint="eastAsia" w:eastAsia="仿宋_GB2312"/>
          <w:kern w:val="0"/>
          <w:sz w:val="32"/>
          <w:szCs w:val="32"/>
        </w:rPr>
        <w:t>2018</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lang w:val="en-US" w:eastAsia="zh-CN"/>
        </w:rPr>
        <w:t>十</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第一部分：中国民主建国会柳州市委员会概况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hAnsi="仿宋_GB2312" w:eastAsia="仿宋_GB2312"/>
          <w:sz w:val="32"/>
          <w:szCs w:val="32"/>
        </w:rPr>
      </w:pPr>
      <w:r>
        <w:rPr>
          <w:rFonts w:hint="eastAsia" w:ascii="仿宋_GB2312" w:hAnsi="仿宋_GB2312" w:eastAsia="仿宋_GB2312"/>
          <w:sz w:val="32"/>
          <w:szCs w:val="32"/>
        </w:rPr>
        <w:t>民建柳州市委是中国共产党领导的多党合作和政治协商制度的组成部分，主要职能是通过调查研究向党委政府提出意见和建议，加强自身组织建设和思想建设，参政议政，民主监督，开展党务工作。目前，民建柳州市委编制8人，在职实有人数8人，下设办公室、组织科、宣传科。</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本部门机构设置如下表：</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单位名称</w:t>
            </w:r>
          </w:p>
        </w:tc>
        <w:tc>
          <w:tcPr>
            <w:tcW w:w="4261"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单位性质（行政、参公、全额拨款事业单位、差额拨款事业单位、自收自支事业单位）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hint="eastAsia" w:ascii="仿宋_GB2312" w:hAnsi="仿宋_GB2312" w:eastAsia="仿宋_GB2312"/>
                <w:sz w:val="28"/>
              </w:rPr>
              <w:t>中国民主建国会柳州市委员会</w:t>
            </w:r>
          </w:p>
        </w:tc>
        <w:tc>
          <w:tcPr>
            <w:tcW w:w="4261" w:type="dxa"/>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400" w:firstLineChars="500"/>
              <w:rPr>
                <w:rFonts w:ascii="仿宋_GB2312" w:hAnsi="仿宋_GB2312" w:eastAsia="仿宋_GB2312"/>
                <w:sz w:val="28"/>
              </w:rPr>
            </w:pPr>
            <w:r>
              <w:rPr>
                <w:rFonts w:hint="eastAsia" w:ascii="仿宋_GB2312" w:hAnsi="仿宋_GB2312" w:eastAsia="仿宋_GB2312"/>
                <w:sz w:val="28"/>
              </w:rPr>
              <w:t>行政</w:t>
            </w:r>
          </w:p>
        </w:tc>
      </w:tr>
    </w:tbl>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本年度机构和人员如下表：</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rPr>
        <w:t xml:space="preserve">                                </w:t>
      </w:r>
      <w:r>
        <w:rPr>
          <w:rFonts w:ascii="仿宋_GB2312" w:hAnsi="仿宋_GB2312" w:eastAsia="仿宋_GB2312"/>
          <w:sz w:val="28"/>
        </w:rPr>
        <w:t>单位：人</w:t>
      </w:r>
    </w:p>
    <w:tbl>
      <w:tblPr>
        <w:tblStyle w:val="5"/>
        <w:tblW w:w="0" w:type="auto"/>
        <w:tblInd w:w="20" w:type="dxa"/>
        <w:tblBorders>
          <w:top w:val="single" w:color="auto" w:sz="4" w:space="0"/>
          <w:left w:val="single" w:color="auto" w:sz="4" w:space="0"/>
          <w:bottom w:val="none" w:color="auto" w:sz="0" w:space="0"/>
          <w:right w:val="single" w:color="auto" w:sz="4" w:space="0"/>
          <w:insideH w:val="none" w:color="auto" w:sz="0" w:space="0"/>
          <w:insideV w:val="single" w:color="auto" w:sz="4" w:space="0"/>
        </w:tblBorders>
        <w:tblLayout w:type="fixed"/>
        <w:tblCellMar>
          <w:top w:w="20" w:type="dxa"/>
          <w:left w:w="20" w:type="dxa"/>
          <w:bottom w:w="0" w:type="dxa"/>
          <w:right w:w="20" w:type="dxa"/>
        </w:tblCellMar>
      </w:tblPr>
      <w:tblGrid>
        <w:gridCol w:w="2694"/>
        <w:gridCol w:w="747"/>
        <w:gridCol w:w="812"/>
        <w:gridCol w:w="1134"/>
        <w:gridCol w:w="992"/>
        <w:gridCol w:w="1199"/>
        <w:gridCol w:w="1208"/>
      </w:tblGrid>
      <w:tr>
        <w:tblPrEx>
          <w:tblBorders>
            <w:top w:val="single" w:color="auto" w:sz="4" w:space="0"/>
            <w:left w:val="single" w:color="auto" w:sz="4" w:space="0"/>
            <w:bottom w:val="none" w:color="auto" w:sz="0" w:space="0"/>
            <w:right w:val="single" w:color="auto" w:sz="4" w:space="0"/>
            <w:insideH w:val="none" w:color="auto" w:sz="0" w:space="0"/>
            <w:insideV w:val="single" w:color="auto" w:sz="4" w:space="0"/>
          </w:tblBorders>
          <w:tblCellMar>
            <w:top w:w="20" w:type="dxa"/>
            <w:left w:w="20" w:type="dxa"/>
            <w:bottom w:w="0" w:type="dxa"/>
            <w:right w:w="20" w:type="dxa"/>
          </w:tblCellMar>
        </w:tblPrEx>
        <w:trPr>
          <w:cantSplit/>
          <w:trHeight w:val="735" w:hRule="atLeast"/>
        </w:trPr>
        <w:tc>
          <w:tcPr>
            <w:tcW w:w="2694"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项    目</w:t>
            </w:r>
          </w:p>
        </w:tc>
        <w:tc>
          <w:tcPr>
            <w:tcW w:w="747"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合计</w:t>
            </w:r>
          </w:p>
        </w:tc>
        <w:tc>
          <w:tcPr>
            <w:tcW w:w="812"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行政</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单位</w:t>
            </w:r>
          </w:p>
        </w:tc>
        <w:tc>
          <w:tcPr>
            <w:tcW w:w="2126" w:type="dxa"/>
            <w:gridSpan w:val="2"/>
            <w:tcBorders>
              <w:top w:val="nil"/>
              <w:left w:val="nil"/>
              <w:bottom w:val="nil"/>
              <w:right w:val="nil"/>
            </w:tcBorders>
            <w:tcMar>
              <w:top w:w="0" w:type="dxa"/>
              <w:left w:w="0" w:type="dxa"/>
              <w:right w:w="0" w:type="dxa"/>
            </w:tcMar>
          </w:tcPr>
          <w:tbl>
            <w:tblPr>
              <w:tblStyle w:val="5"/>
              <w:tblW w:w="0" w:type="auto"/>
              <w:tblInd w:w="0" w:type="dxa"/>
              <w:tblBorders>
                <w:top w:val="single" w:color="auto" w:sz="4" w:space="0"/>
                <w:left w:val="none" w:color="auto" w:sz="0" w:space="0"/>
                <w:bottom w:val="single" w:color="auto" w:sz="4" w:space="0"/>
                <w:right w:val="single" w:color="auto" w:sz="4" w:space="0"/>
                <w:insideH w:val="none" w:color="auto" w:sz="0" w:space="0"/>
                <w:insideV w:val="none" w:color="auto" w:sz="0" w:space="0"/>
              </w:tblBorders>
              <w:tblLayout w:type="fixed"/>
              <w:tblCellMar>
                <w:top w:w="20" w:type="dxa"/>
                <w:left w:w="20" w:type="dxa"/>
                <w:bottom w:w="0" w:type="dxa"/>
                <w:right w:w="20" w:type="dxa"/>
              </w:tblCellMar>
            </w:tblPr>
            <w:tblGrid>
              <w:gridCol w:w="1134"/>
              <w:gridCol w:w="992"/>
            </w:tblGrid>
            <w:tr>
              <w:tblPrEx>
                <w:tblBorders>
                  <w:top w:val="single" w:color="auto" w:sz="4" w:space="0"/>
                  <w:left w:val="none" w:color="auto" w:sz="0" w:space="0"/>
                  <w:bottom w:val="single" w:color="auto" w:sz="4" w:space="0"/>
                  <w:right w:val="single" w:color="auto" w:sz="4" w:space="0"/>
                  <w:insideH w:val="none" w:color="auto" w:sz="0" w:space="0"/>
                  <w:insideV w:val="none" w:color="auto" w:sz="0" w:space="0"/>
                </w:tblBorders>
                <w:tblCellMar>
                  <w:top w:w="20" w:type="dxa"/>
                  <w:left w:w="20" w:type="dxa"/>
                  <w:bottom w:w="0" w:type="dxa"/>
                  <w:right w:w="20" w:type="dxa"/>
                </w:tblCellMar>
              </w:tblPrEx>
              <w:trPr>
                <w:cantSplit/>
                <w:trHeight w:val="735" w:hRule="atLeast"/>
              </w:trPr>
              <w:tc>
                <w:tcPr>
                  <w:tcW w:w="2126" w:type="dxa"/>
                  <w:gridSpan w:val="2"/>
                  <w:tcBorders>
                    <w:top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财政拨款事业单位</w:t>
                  </w:r>
                </w:p>
              </w:tc>
            </w:tr>
            <w:tr>
              <w:tblPrEx>
                <w:tblBorders>
                  <w:top w:val="single" w:color="auto" w:sz="4" w:space="0"/>
                  <w:left w:val="none" w:color="auto" w:sz="0" w:space="0"/>
                  <w:bottom w:val="none" w:color="auto" w:sz="0" w:space="0"/>
                  <w:right w:val="single" w:color="auto" w:sz="4" w:space="0"/>
                  <w:insideH w:val="none" w:color="auto" w:sz="0" w:space="0"/>
                  <w:insideV w:val="single" w:color="auto" w:sz="4" w:space="0"/>
                </w:tblBorders>
                <w:tblCellMar>
                  <w:top w:w="20" w:type="dxa"/>
                  <w:left w:w="20" w:type="dxa"/>
                  <w:bottom w:w="0" w:type="dxa"/>
                  <w:right w:w="20" w:type="dxa"/>
                </w:tblCellMar>
              </w:tblPrEx>
              <w:trPr>
                <w:cantSplit/>
                <w:trHeight w:val="1111" w:hRule="atLeast"/>
              </w:trPr>
              <w:tc>
                <w:tcPr>
                  <w:tcW w:w="1134"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参公</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管理</w:t>
                  </w:r>
                </w:p>
              </w:tc>
              <w:tc>
                <w:tcPr>
                  <w:tcW w:w="992"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其他</w:t>
                  </w:r>
                </w:p>
              </w:tc>
            </w:tr>
          </w:tbl>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p>
        </w:tc>
        <w:tc>
          <w:tcPr>
            <w:tcW w:w="1199" w:type="dxa"/>
            <w:tcBorders>
              <w:top w:val="single" w:color="auto" w:sz="4" w:space="0"/>
              <w:left w:val="nil"/>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财政补助事业单位</w:t>
            </w:r>
          </w:p>
        </w:tc>
        <w:tc>
          <w:tcPr>
            <w:tcW w:w="1208" w:type="dxa"/>
            <w:tcBorders>
              <w:top w:val="single" w:color="auto" w:sz="4" w:space="0"/>
              <w:left w:val="single" w:color="auto" w:sz="4" w:space="0"/>
              <w:bottom w:val="nil"/>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自收自支事业单位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编制数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single" w:color="auto" w:sz="4" w:space="0"/>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实有人数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在职人数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其中：在岗在编人数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8</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在岗超编人数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离退休人数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single" w:color="auto" w:sz="4" w:space="0"/>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其中：离休人数</w:t>
            </w:r>
          </w:p>
        </w:tc>
        <w:tc>
          <w:tcPr>
            <w:tcW w:w="747"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single" w:color="auto" w:sz="4" w:space="0"/>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rPr>
                <w:rFonts w:ascii="仿宋_GB2312" w:hAnsi="仿宋_GB2312" w:eastAsia="仿宋_GB2312"/>
                <w:sz w:val="28"/>
              </w:rPr>
            </w:pPr>
            <w:r>
              <w:rPr>
                <w:rFonts w:ascii="仿宋_GB2312" w:hAnsi="仿宋_GB2312" w:eastAsia="仿宋_GB2312"/>
                <w:sz w:val="28"/>
              </w:rPr>
              <w:t xml:space="preserve">    </w:t>
            </w:r>
            <w:r>
              <w:rPr>
                <w:rFonts w:hint="eastAsia" w:ascii="仿宋_GB2312" w:hAnsi="仿宋_GB2312" w:eastAsia="仿宋_GB2312"/>
                <w:sz w:val="28"/>
              </w:rPr>
              <w:t xml:space="preserve">  </w:t>
            </w:r>
            <w:r>
              <w:rPr>
                <w:rFonts w:ascii="仿宋_GB2312" w:hAnsi="仿宋_GB2312" w:eastAsia="仿宋_GB2312"/>
                <w:sz w:val="28"/>
              </w:rPr>
              <w:t>退休人数</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r>
              <w:rPr>
                <w:rFonts w:hint="eastAsia" w:ascii="仿宋_GB2312" w:hAnsi="仿宋_GB2312" w:eastAsia="仿宋_GB2312"/>
                <w:sz w:val="28"/>
              </w:rPr>
              <w:t>5</w:t>
            </w: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1400" w:firstLineChars="500"/>
              <w:rPr>
                <w:rFonts w:ascii="仿宋_GB2312" w:hAnsi="仿宋_GB2312" w:eastAsia="仿宋_GB2312"/>
                <w:sz w:val="28"/>
              </w:rPr>
            </w:pPr>
            <w:r>
              <w:rPr>
                <w:rFonts w:ascii="仿宋_GB2312" w:hAnsi="仿宋_GB2312" w:eastAsia="仿宋_GB2312"/>
                <w:sz w:val="28"/>
              </w:rPr>
              <w:t>遗属</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0" w:type="dxa"/>
            <w:right w:w="20" w:type="dxa"/>
          </w:tblCellMar>
        </w:tblPrEx>
        <w:trPr>
          <w:trHeight w:val="227" w:hRule="atLeast"/>
        </w:trPr>
        <w:tc>
          <w:tcPr>
            <w:tcW w:w="2694" w:type="dxa"/>
            <w:tcBorders>
              <w:top w:val="nil"/>
              <w:left w:val="single" w:color="auto" w:sz="4" w:space="0"/>
              <w:bottom w:val="single" w:color="auto" w:sz="4" w:space="0"/>
              <w:right w:val="single" w:color="auto" w:sz="4" w:space="0"/>
            </w:tcBorders>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rPr>
                <w:rFonts w:ascii="仿宋_GB2312" w:hAnsi="仿宋_GB2312" w:eastAsia="仿宋_GB2312"/>
                <w:sz w:val="28"/>
              </w:rPr>
            </w:pPr>
            <w:r>
              <w:rPr>
                <w:rFonts w:ascii="仿宋_GB2312" w:hAnsi="仿宋_GB2312" w:eastAsia="仿宋_GB2312"/>
                <w:sz w:val="28"/>
              </w:rPr>
              <w:t>编外长期聘用人员</w:t>
            </w:r>
          </w:p>
        </w:tc>
        <w:tc>
          <w:tcPr>
            <w:tcW w:w="747"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81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34"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992"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199" w:type="dxa"/>
            <w:tcBorders>
              <w:top w:val="nil"/>
              <w:left w:val="nil"/>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c>
          <w:tcPr>
            <w:tcW w:w="1208" w:type="dxa"/>
            <w:tcBorders>
              <w:top w:val="nil"/>
              <w:left w:val="single" w:color="auto" w:sz="4" w:space="0"/>
              <w:bottom w:val="single" w:color="auto" w:sz="4" w:space="0"/>
              <w:right w:val="single" w:color="auto" w:sz="4" w:space="0"/>
            </w:tcBorders>
            <w:vAlign w:val="center"/>
          </w:tcPr>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ind w:firstLine="560"/>
              <w:jc w:val="center"/>
              <w:rPr>
                <w:rFonts w:ascii="仿宋_GB2312" w:hAnsi="仿宋_GB2312" w:eastAsia="仿宋_GB2312"/>
                <w:sz w:val="28"/>
              </w:rPr>
            </w:pPr>
          </w:p>
        </w:tc>
      </w:tr>
    </w:tbl>
    <w:p>
      <w:pPr>
        <w:ind w:firstLine="645"/>
        <w:rPr>
          <w:rFonts w:ascii="仿宋_GB2312" w:eastAsia="仿宋_GB2312"/>
          <w:sz w:val="32"/>
          <w:szCs w:val="32"/>
        </w:rP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第二部分：中国民主建国会柳州市委员会2018年部门决算报表</w:t>
      </w:r>
    </w:p>
    <w:p>
      <w:pPr>
        <w:spacing w:line="560" w:lineRule="exact"/>
        <w:rPr>
          <w:rFonts w:ascii="仿宋_GB2312" w:hAnsi="Tahoma" w:eastAsia="仿宋_GB2312" w:cs="Tahoma"/>
          <w:bCs/>
          <w:kern w:val="0"/>
          <w:sz w:val="32"/>
          <w:szCs w:val="32"/>
        </w:rPr>
      </w:pPr>
      <w:r>
        <w:rPr>
          <w:rFonts w:hint="eastAsia" w:ascii="仿宋_GB2312" w:hAnsi="Tahoma" w:eastAsia="仿宋_GB2312" w:cs="Tahoma"/>
          <w:bCs/>
          <w:kern w:val="0"/>
          <w:sz w:val="32"/>
          <w:szCs w:val="32"/>
        </w:rPr>
        <w:t xml:space="preserve"> (详见附件)</w:t>
      </w:r>
    </w:p>
    <w:p>
      <w:pPr>
        <w:spacing w:line="560" w:lineRule="exact"/>
        <w:rPr>
          <w:rFonts w:ascii="仿宋_GB2312" w:eastAsia="仿宋_GB2312"/>
          <w:b/>
          <w:sz w:val="32"/>
          <w:szCs w:val="32"/>
        </w:rPr>
      </w:pPr>
    </w:p>
    <w:p>
      <w:pPr>
        <w:spacing w:line="560" w:lineRule="exact"/>
        <w:rPr>
          <w:rFonts w:ascii="仿宋_GB2312" w:eastAsia="仿宋_GB2312"/>
          <w:b/>
          <w:sz w:val="32"/>
          <w:szCs w:val="32"/>
        </w:rPr>
      </w:pPr>
      <w:r>
        <w:rPr>
          <w:rFonts w:hint="eastAsia" w:ascii="仿宋_GB2312" w:eastAsia="仿宋_GB2312"/>
          <w:b/>
          <w:sz w:val="32"/>
          <w:szCs w:val="32"/>
        </w:rPr>
        <w:t>第三部分：中国民主建国会柳州市委员会2018年度部门决算情况说明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2018</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2018年度收入总计179.32万元，支出总计179.32万元，与2017年相比，收、支分别增加27.69万元、27.69万元；分别增长15.44%、15.44%。</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2018年度财政拨款收入总计</w:t>
      </w:r>
      <w:r>
        <w:rPr>
          <w:rFonts w:hint="eastAsia" w:ascii="仿宋_GB2312" w:eastAsia="仿宋_GB2312" w:cs="仿宋_GB2312"/>
          <w:bCs/>
          <w:kern w:val="0"/>
          <w:sz w:val="32"/>
          <w:szCs w:val="32"/>
        </w:rPr>
        <w:t>179.32</w:t>
      </w:r>
      <w:r>
        <w:rPr>
          <w:rFonts w:hint="eastAsia" w:ascii="仿宋_GB2312" w:eastAsia="仿宋_GB2312" w:cs="仿宋_GB2312"/>
          <w:kern w:val="0"/>
          <w:sz w:val="32"/>
          <w:szCs w:val="32"/>
        </w:rPr>
        <w:t>万元，财政拨款支出总计</w:t>
      </w:r>
      <w:r>
        <w:rPr>
          <w:rFonts w:hint="eastAsia" w:ascii="仿宋_GB2312" w:eastAsia="仿宋_GB2312" w:cs="仿宋_GB2312"/>
          <w:bCs/>
          <w:kern w:val="0"/>
          <w:sz w:val="32"/>
          <w:szCs w:val="32"/>
        </w:rPr>
        <w:t>179.32</w:t>
      </w:r>
      <w:r>
        <w:rPr>
          <w:rFonts w:hint="eastAsia" w:ascii="仿宋_GB2312" w:eastAsia="仿宋_GB2312" w:cs="仿宋_GB2312"/>
          <w:kern w:val="0"/>
          <w:sz w:val="32"/>
          <w:szCs w:val="32"/>
        </w:rPr>
        <w:t>万元。与2017年相比，财政拨款收、支总计各增加</w:t>
      </w:r>
      <w:r>
        <w:rPr>
          <w:rFonts w:hint="eastAsia" w:ascii="仿宋_GB2312" w:eastAsia="仿宋_GB2312" w:cs="仿宋_GB2312"/>
          <w:bCs/>
          <w:kern w:val="0"/>
          <w:sz w:val="32"/>
          <w:szCs w:val="32"/>
        </w:rPr>
        <w:t>27.69</w:t>
      </w:r>
      <w:r>
        <w:rPr>
          <w:rFonts w:hint="eastAsia" w:ascii="仿宋_GB2312" w:eastAsia="仿宋_GB2312" w:cs="仿宋_GB2312"/>
          <w:kern w:val="0"/>
          <w:sz w:val="32"/>
          <w:szCs w:val="32"/>
        </w:rPr>
        <w:t>万元，增长</w:t>
      </w:r>
      <w:r>
        <w:rPr>
          <w:rFonts w:hint="eastAsia" w:ascii="仿宋_GB2312" w:eastAsia="仿宋_GB2312" w:cs="仿宋_GB2312"/>
          <w:bCs/>
          <w:kern w:val="0"/>
          <w:sz w:val="32"/>
          <w:szCs w:val="32"/>
        </w:rPr>
        <w:t>15.44</w:t>
      </w:r>
      <w:r>
        <w:rPr>
          <w:rFonts w:hint="eastAsia" w:ascii="仿宋_GB2312" w:eastAsia="仿宋_GB2312" w:cs="仿宋_GB2312"/>
          <w:kern w:val="0"/>
          <w:sz w:val="32"/>
          <w:szCs w:val="32"/>
        </w:rPr>
        <w:t>%。主要原因是2018年养老保险、职业年金、公积金等人员支出增加，以及公务员调资增加行政运行经费。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2018年度一般公共预算收入总计</w:t>
      </w:r>
      <w:r>
        <w:rPr>
          <w:rFonts w:hint="eastAsia" w:ascii="仿宋_GB2312" w:eastAsia="仿宋_GB2312" w:cs="仿宋_GB2312"/>
          <w:bCs/>
          <w:kern w:val="0"/>
          <w:sz w:val="32"/>
          <w:szCs w:val="32"/>
        </w:rPr>
        <w:t>179.32</w:t>
      </w:r>
      <w:r>
        <w:rPr>
          <w:rFonts w:hint="eastAsia" w:ascii="仿宋_GB2312" w:eastAsia="仿宋_GB2312" w:cs="仿宋_GB2312"/>
          <w:kern w:val="0"/>
          <w:sz w:val="32"/>
          <w:szCs w:val="32"/>
        </w:rPr>
        <w:t>万元，一般公共预算支出总计</w:t>
      </w:r>
      <w:r>
        <w:rPr>
          <w:rFonts w:hint="eastAsia" w:ascii="仿宋_GB2312" w:eastAsia="仿宋_GB2312" w:cs="仿宋_GB2312"/>
          <w:bCs/>
          <w:kern w:val="0"/>
          <w:sz w:val="32"/>
          <w:szCs w:val="32"/>
        </w:rPr>
        <w:t>179.32</w:t>
      </w:r>
      <w:r>
        <w:rPr>
          <w:rFonts w:hint="eastAsia" w:ascii="仿宋_GB2312" w:eastAsia="仿宋_GB2312" w:cs="仿宋_GB2312"/>
          <w:kern w:val="0"/>
          <w:sz w:val="32"/>
          <w:szCs w:val="32"/>
        </w:rPr>
        <w:t>万元。与2017年相比，一般公共预算收、支总计各增加</w:t>
      </w:r>
      <w:r>
        <w:rPr>
          <w:rFonts w:hint="eastAsia" w:ascii="仿宋_GB2312" w:eastAsia="仿宋_GB2312" w:cs="仿宋_GB2312"/>
          <w:bCs/>
          <w:kern w:val="0"/>
          <w:sz w:val="32"/>
          <w:szCs w:val="32"/>
        </w:rPr>
        <w:t>27.69</w:t>
      </w:r>
      <w:r>
        <w:rPr>
          <w:rFonts w:hint="eastAsia" w:ascii="仿宋_GB2312" w:eastAsia="仿宋_GB2312" w:cs="仿宋_GB2312"/>
          <w:kern w:val="0"/>
          <w:sz w:val="32"/>
          <w:szCs w:val="32"/>
        </w:rPr>
        <w:t>万元，增长</w:t>
      </w:r>
      <w:r>
        <w:rPr>
          <w:rFonts w:hint="eastAsia" w:ascii="仿宋_GB2312" w:eastAsia="仿宋_GB2312" w:cs="仿宋_GB2312"/>
          <w:bCs/>
          <w:kern w:val="0"/>
          <w:sz w:val="32"/>
          <w:szCs w:val="32"/>
        </w:rPr>
        <w:t>15.44</w:t>
      </w:r>
      <w:r>
        <w:rPr>
          <w:rFonts w:hint="eastAsia" w:ascii="仿宋_GB2312" w:eastAsia="仿宋_GB2312" w:cs="仿宋_GB2312"/>
          <w:kern w:val="0"/>
          <w:sz w:val="32"/>
          <w:szCs w:val="32"/>
        </w:rPr>
        <w:t>%。主要原因是2018年养老保险、职业年金、公积金等人员支出增加，以及公务员调资增加行政运行经费。</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2018</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hAnsi="Tahoma" w:eastAsia="仿宋_GB2312" w:cs="Tahoma"/>
          <w:kern w:val="0"/>
          <w:sz w:val="32"/>
          <w:szCs w:val="32"/>
        </w:rPr>
      </w:pPr>
      <w:r>
        <w:rPr>
          <w:rFonts w:hint="eastAsia" w:ascii="仿宋_GB2312" w:eastAsia="仿宋_GB2312" w:cs="仿宋_GB2312"/>
          <w:bCs/>
          <w:kern w:val="0"/>
          <w:sz w:val="32"/>
          <w:szCs w:val="32"/>
        </w:rPr>
        <w:t>本年收入总计179.32万元 ，为柳州市本级财政当年拨付的资金。其中：财政拨款收入179.32万元，占比100% 。</w:t>
      </w:r>
      <w:r>
        <w:rPr>
          <w:rFonts w:hint="eastAsia" w:ascii="仿宋_GB2312" w:hAnsi="Tahoma" w:eastAsia="仿宋_GB2312" w:cs="Tahoma"/>
          <w:color w:val="000000"/>
          <w:kern w:val="0"/>
          <w:sz w:val="32"/>
          <w:szCs w:val="32"/>
          <w:shd w:val="clear" w:color="auto" w:fill="FFFFFF"/>
        </w:rPr>
        <w:t>与</w:t>
      </w:r>
      <w:r>
        <w:rPr>
          <w:rFonts w:hint="eastAsia" w:ascii="仿宋_GB2312" w:hAnsi="Tahoma" w:eastAsia="仿宋_GB2312" w:cs="Tahoma"/>
          <w:color w:val="000000"/>
          <w:kern w:val="0"/>
          <w:sz w:val="32"/>
          <w:szCs w:val="32"/>
        </w:rPr>
        <w:t>2017</w:t>
      </w:r>
      <w:r>
        <w:rPr>
          <w:rFonts w:hint="eastAsia" w:ascii="仿宋_GB2312" w:hAnsi="Tahoma" w:eastAsia="仿宋_GB2312" w:cs="Tahoma"/>
          <w:kern w:val="0"/>
          <w:sz w:val="32"/>
          <w:szCs w:val="32"/>
          <w:shd w:val="clear" w:color="auto" w:fill="FFFFFF"/>
        </w:rPr>
        <w:t>年相比，增加</w:t>
      </w:r>
      <w:r>
        <w:rPr>
          <w:rFonts w:hint="eastAsia" w:ascii="仿宋_GB2312" w:eastAsia="仿宋_GB2312" w:cs="仿宋_GB2312"/>
          <w:bCs/>
          <w:kern w:val="0"/>
          <w:sz w:val="32"/>
          <w:szCs w:val="32"/>
        </w:rPr>
        <w:t>27.69</w:t>
      </w:r>
      <w:r>
        <w:rPr>
          <w:rFonts w:hint="eastAsia" w:ascii="仿宋_GB2312" w:hAnsi="Tahoma" w:eastAsia="仿宋_GB2312" w:cs="Tahoma"/>
          <w:kern w:val="0"/>
          <w:sz w:val="32"/>
          <w:szCs w:val="32"/>
          <w:shd w:val="clear" w:color="auto" w:fill="FFFFFF"/>
        </w:rPr>
        <w:t>万元，增加</w:t>
      </w:r>
      <w:r>
        <w:rPr>
          <w:rFonts w:hint="eastAsia" w:ascii="仿宋_GB2312" w:eastAsia="仿宋_GB2312" w:cs="仿宋_GB2312"/>
          <w:bCs/>
          <w:kern w:val="0"/>
          <w:sz w:val="32"/>
          <w:szCs w:val="32"/>
        </w:rPr>
        <w:t>15.44</w:t>
      </w:r>
      <w:r>
        <w:rPr>
          <w:rFonts w:hint="eastAsia" w:ascii="仿宋_GB2312" w:eastAsia="仿宋_GB2312" w:cs="仿宋_GB2312"/>
          <w:kern w:val="0"/>
          <w:sz w:val="32"/>
          <w:szCs w:val="32"/>
        </w:rPr>
        <w:t>%</w:t>
      </w:r>
      <w:r>
        <w:rPr>
          <w:rFonts w:hint="eastAsia" w:ascii="仿宋_GB2312" w:hAnsi="Tahoma" w:eastAsia="仿宋_GB2312" w:cs="Tahoma"/>
          <w:kern w:val="0"/>
          <w:sz w:val="32"/>
          <w:szCs w:val="32"/>
        </w:rPr>
        <w:t>，增加原因：</w:t>
      </w:r>
      <w:r>
        <w:rPr>
          <w:rFonts w:hint="eastAsia" w:ascii="仿宋_GB2312" w:eastAsia="仿宋_GB2312" w:cs="仿宋_GB2312"/>
          <w:kern w:val="0"/>
          <w:sz w:val="32"/>
          <w:szCs w:val="32"/>
        </w:rPr>
        <w:t>2018年养老保险、职业年金、公积金等人员支出增加，以及公务员调资增加行政运行经费</w:t>
      </w:r>
      <w:r>
        <w:rPr>
          <w:rFonts w:hint="eastAsia" w:ascii="仿宋_GB2312" w:hAnsi="Tahoma" w:eastAsia="仿宋_GB2312" w:cs="Tahoma"/>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kern w:val="0"/>
          <w:sz w:val="32"/>
          <w:szCs w:val="32"/>
        </w:rPr>
        <w:t>上年结转和结余</w:t>
      </w:r>
      <w:r>
        <w:rPr>
          <w:rFonts w:hint="eastAsia" w:ascii="仿宋_GB2312" w:eastAsia="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3" w:firstLineChars="200"/>
        <w:jc w:val="left"/>
        <w:rPr>
          <w:rFonts w:eastAsia="仿宋_GB2312"/>
          <w:b/>
          <w:kern w:val="0"/>
          <w:sz w:val="32"/>
          <w:szCs w:val="32"/>
        </w:rPr>
      </w:pPr>
      <w:r>
        <w:rPr>
          <w:rFonts w:hint="eastAsia" w:eastAsia="仿宋_GB2312"/>
          <w:b/>
          <w:kern w:val="0"/>
          <w:sz w:val="32"/>
          <w:szCs w:val="32"/>
        </w:rPr>
        <w:t>三、2018年度支出决算情况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179.32万元，其中：基本支出 150.83万元，占84.11%；项目支出28.49万元， 占15.89%；</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2018</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2018年度财政拨款收、支总决算179.32万元、179.32万元。与 2017年相比，财政拨款收、支总计各增加27.69万元，增长15.44%。</w:t>
      </w:r>
    </w:p>
    <w:p>
      <w:pPr>
        <w:autoSpaceDE w:val="0"/>
        <w:autoSpaceDN w:val="0"/>
        <w:adjustRightInd w:val="0"/>
        <w:spacing w:line="560" w:lineRule="exact"/>
        <w:ind w:firstLine="643" w:firstLineChars="200"/>
        <w:jc w:val="left"/>
        <w:rPr>
          <w:rFonts w:eastAsia="仿宋_GB2312"/>
          <w:b/>
          <w:kern w:val="0"/>
          <w:sz w:val="32"/>
          <w:szCs w:val="32"/>
        </w:rPr>
      </w:pPr>
      <w:r>
        <w:rPr>
          <w:rFonts w:hint="eastAsia" w:eastAsia="仿宋_GB2312"/>
          <w:b/>
          <w:kern w:val="0"/>
          <w:sz w:val="32"/>
          <w:szCs w:val="32"/>
        </w:rPr>
        <w:t>五、2018年度一般公共预算财政拨款支出决算情况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2018 年度财政拨款支出179.32万元，占本年支出合计的100%。与 2017年相比，财政拨款支出增加27.69万元，增加15.44%。</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2018年度财政拨款支出179.32万元，主要用于以下方面：一般公共服务（类）支出140.64万元， 占78.43%；社会保障和就业（类）支出19.03万元，占10.61%； 住房保障（类）支出9.32万元，占 5.20%；医疗卫生与计划生育支出10.34万元，占5.77%。</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
          <w:bCs/>
          <w:color w:val="FF0000"/>
          <w:kern w:val="0"/>
          <w:sz w:val="32"/>
          <w:szCs w:val="32"/>
        </w:rPr>
      </w:pPr>
      <w:r>
        <w:rPr>
          <w:rFonts w:hint="eastAsia" w:ascii="仿宋_GB2312" w:eastAsia="仿宋_GB2312" w:cs="仿宋_GB2312"/>
          <w:bCs/>
          <w:kern w:val="0"/>
          <w:sz w:val="32"/>
          <w:szCs w:val="32"/>
        </w:rPr>
        <w:t xml:space="preserve"> 2018年度财政拨款支出年初预算为 179.32万元，支出决算为179.32万元，完成年初预算的 100%。其中：</w:t>
      </w:r>
      <w:r>
        <w:rPr>
          <w:rFonts w:hint="eastAsia" w:ascii="仿宋_GB2312" w:eastAsia="仿宋_GB2312" w:cs="仿宋_GB2312"/>
          <w:b/>
          <w:bCs/>
          <w:color w:val="FF0000"/>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1.一般公共服务（类）财政事务（款）行政运行（项）。 年初预算为140.64万元，支出决算为 140.64万元，完成年初预算的 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rPr>
        <w:t xml:space="preserve"> </w:t>
      </w:r>
      <w:r>
        <w:rPr>
          <w:rFonts w:hint="eastAsia" w:ascii="仿宋_GB2312" w:eastAsia="仿宋_GB2312" w:cs="仿宋_GB2312"/>
          <w:bCs/>
          <w:kern w:val="0"/>
          <w:sz w:val="32"/>
          <w:szCs w:val="32"/>
        </w:rPr>
        <w:t>社会保障和就业支出（类）。年初预算为19.03万元，支出决算为19.03万元，完成年初预算的100%。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医疗卫生与计划生育支出（类）。年初预算为10.34万元，支出决算为10.34万元，完成年初预算的100%。</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住房保障支出（类）。年初预算为9.32万元，支出决算为9.32万元，完成年初预算的100%。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六、2018年度一般公共预算财政拨款基本支出决算情况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2018年度财政拨款基本支出179.32万元，其中：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人员经费156.37万元，主要包括：基本工资、津贴补贴等；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公用经费22.95万元，主要 包括：办公费、印刷费等。</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七、2018年度一般公共预算财政拨款“三公”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预算为0万元，支出决算为0万元，完成预算的0%，其中：因公出国（境）费支出决算为0万元，完成预算的0%；公务用车购置及运行费支出决算为0万元，完成预算的0%；公务接待费支出决算为0万元，完成预算的0%。2018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2018年度“三公”经费财政拨款支出决算数与2017年持平，其中：因公出国（境）费支出决 算减少0万元，下降0%；公务用车购置及运行费支出 决算减少0万元，下降0%；公务接待费支出决算0万元，下降0%。</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与上年持平；公务用车购置及运行费支出与上年持平；公务接待费支出减少的主要原因是认真贯彻落实中央“八项规定”精神和厉行节约要求，进一步从严控制“三公”经费开支，全年实际支出比预算有所节约。</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60" w:lineRule="exact"/>
        <w:ind w:firstLine="42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2018年度“三公”经费财政拨款支出决算中，因公出国（境）费支出决算0万元，占0%；公务用车购置及运行费 支出决算0万元，占0 %；公务接待费支出决算0万元，占0 %。具体情况如下：  </w:t>
      </w:r>
    </w:p>
    <w:p>
      <w:pPr>
        <w:autoSpaceDE w:val="0"/>
        <w:autoSpaceDN w:val="0"/>
        <w:adjustRightInd w:val="0"/>
        <w:spacing w:line="560" w:lineRule="exact"/>
        <w:ind w:firstLine="42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 公务用车购置支出为0万元。公务用车运行支出0万元。2018年，机关所属单位开支财政拨款的公务用车保有量为0辆。</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3.公务接待费支出0万元。其中：</w:t>
      </w:r>
    </w:p>
    <w:p>
      <w:pPr>
        <w:autoSpaceDE w:val="0"/>
        <w:autoSpaceDN w:val="0"/>
        <w:adjustRightInd w:val="0"/>
        <w:spacing w:line="560" w:lineRule="exact"/>
        <w:ind w:firstLine="42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w:t>
      </w:r>
    </w:p>
    <w:p>
      <w:pPr>
        <w:autoSpaceDE w:val="0"/>
        <w:autoSpaceDN w:val="0"/>
        <w:adjustRightInd w:val="0"/>
        <w:spacing w:line="56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国内公务接待支出0万元。</w:t>
      </w:r>
    </w:p>
    <w:p>
      <w:pPr>
        <w:autoSpaceDE w:val="0"/>
        <w:autoSpaceDN w:val="0"/>
        <w:adjustRightInd w:val="0"/>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八、201</w:t>
      </w:r>
      <w:r>
        <w:rPr>
          <w:rFonts w:hint="eastAsia" w:ascii="仿宋_GB2312" w:eastAsia="仿宋_GB2312" w:cs="仿宋_GB2312"/>
          <w:b/>
          <w:kern w:val="0"/>
          <w:sz w:val="32"/>
          <w:szCs w:val="32"/>
          <w:lang w:val="en-US" w:eastAsia="zh-CN"/>
        </w:rPr>
        <w:t>8</w:t>
      </w:r>
      <w:r>
        <w:rPr>
          <w:rFonts w:hint="eastAsia" w:ascii="仿宋_GB2312" w:eastAsia="仿宋_GB2312" w:cs="仿宋_GB2312"/>
          <w:b/>
          <w:kern w:val="0"/>
          <w:sz w:val="32"/>
          <w:szCs w:val="32"/>
        </w:rPr>
        <w:t>年度政府性基金预算财政拨款收入支出决算情 况说明</w:t>
      </w:r>
    </w:p>
    <w:p>
      <w:pPr>
        <w:autoSpaceDE w:val="0"/>
        <w:autoSpaceDN w:val="0"/>
        <w:adjustRightInd w:val="0"/>
        <w:spacing w:line="56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本部门201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年度没有政府性基金预算财政拨款收入，也没有政府性基金预算财政拨款支出。</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九</w:t>
      </w:r>
      <w:r>
        <w:rPr>
          <w:rFonts w:hint="eastAsia" w:ascii="仿宋_GB2312" w:eastAsia="仿宋_GB2312" w:cs="仿宋_GB2312"/>
          <w:b/>
          <w:kern w:val="0"/>
          <w:sz w:val="32"/>
          <w:szCs w:val="32"/>
        </w:rPr>
        <w:t>、</w:t>
      </w:r>
      <w:r>
        <w:rPr>
          <w:rFonts w:hint="eastAsia" w:eastAsia="仿宋_GB2312"/>
          <w:b/>
          <w:kern w:val="0"/>
          <w:sz w:val="32"/>
          <w:szCs w:val="32"/>
        </w:rPr>
        <w:t>2018</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根据财政预算管理要求，我部门组织对2018年度一般公共 预算项目支出全面开展绩效自评。其中，一级项目3个，二级项目10个，共涉及预算资金179.32万元，自评覆盖率达到100%。 </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资金主要用于1.参政议政调研经费；2.社会服务经费；3.发行《柳州民建》，维护民建网站二项工作全年经费。</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各项绩效目标基本按照计划如期进行，项目经费均按预算合理使用，组织实施情况良好，顺利完成全年任务，资金使用率100%。</w:t>
      </w:r>
    </w:p>
    <w:p>
      <w:pPr>
        <w:autoSpaceDE w:val="0"/>
        <w:autoSpaceDN w:val="0"/>
        <w:adjustRightInd w:val="0"/>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val="en-US" w:eastAsia="zh-CN"/>
        </w:rPr>
        <w:t>十</w:t>
      </w:r>
      <w:bookmarkStart w:id="0" w:name="_GoBack"/>
      <w:bookmarkEnd w:id="0"/>
      <w:r>
        <w:rPr>
          <w:rFonts w:hint="eastAsia" w:ascii="仿宋_GB2312" w:eastAsia="仿宋_GB2312" w:cs="仿宋_GB2312"/>
          <w:b/>
          <w:kern w:val="0"/>
          <w:sz w:val="32"/>
          <w:szCs w:val="32"/>
        </w:rPr>
        <w:t>、其他重要事项的情况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（一）机关运行经费支出情况。2018年度部门机关运行经费支出22.95万元，比 2017年增加6.29万元，增长27.41 %，增加原因：物价上涨，水电、办公等各项经费费用增加。</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（二）政府采购支出情况。2018年度部门政府采购支出总额0万元，其中：货物支出0万元、工程支出0万元、服务支出0万元。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 辆；专业技术用车0 辆；单价50万元 以上通用设备0台（套），单价100 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
        <w:rPr>
          <w:rFonts w:hint="eastAsia" w:ascii="仿宋_GB2312" w:eastAsia="仿宋_GB2312"/>
          <w:bCs/>
          <w:sz w:val="32"/>
          <w:szCs w:val="32"/>
        </w:rPr>
        <w:t xml:space="preserve">      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9</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00FB"/>
    <w:rsid w:val="00010817"/>
    <w:rsid w:val="00012448"/>
    <w:rsid w:val="00023335"/>
    <w:rsid w:val="00024DBF"/>
    <w:rsid w:val="0003247F"/>
    <w:rsid w:val="000432CB"/>
    <w:rsid w:val="00044CAF"/>
    <w:rsid w:val="00064906"/>
    <w:rsid w:val="000A4229"/>
    <w:rsid w:val="000A5CFB"/>
    <w:rsid w:val="000B1CC5"/>
    <w:rsid w:val="000B362D"/>
    <w:rsid w:val="000B38C8"/>
    <w:rsid w:val="000E6CD6"/>
    <w:rsid w:val="000E7C9B"/>
    <w:rsid w:val="001100FB"/>
    <w:rsid w:val="00160E53"/>
    <w:rsid w:val="001677DA"/>
    <w:rsid w:val="00171292"/>
    <w:rsid w:val="00175613"/>
    <w:rsid w:val="00190A75"/>
    <w:rsid w:val="001A5C47"/>
    <w:rsid w:val="001A700E"/>
    <w:rsid w:val="001B283B"/>
    <w:rsid w:val="001C2043"/>
    <w:rsid w:val="001C23CE"/>
    <w:rsid w:val="001F52C5"/>
    <w:rsid w:val="00232211"/>
    <w:rsid w:val="0023281F"/>
    <w:rsid w:val="0024110C"/>
    <w:rsid w:val="00247DE6"/>
    <w:rsid w:val="002521B1"/>
    <w:rsid w:val="002546F5"/>
    <w:rsid w:val="00256607"/>
    <w:rsid w:val="00265FE9"/>
    <w:rsid w:val="00267E60"/>
    <w:rsid w:val="00270C20"/>
    <w:rsid w:val="0027576F"/>
    <w:rsid w:val="002B48E5"/>
    <w:rsid w:val="002D2A32"/>
    <w:rsid w:val="002E6C17"/>
    <w:rsid w:val="00337ED0"/>
    <w:rsid w:val="0034773B"/>
    <w:rsid w:val="00395776"/>
    <w:rsid w:val="003B3410"/>
    <w:rsid w:val="003C712B"/>
    <w:rsid w:val="003F6D3C"/>
    <w:rsid w:val="004223D0"/>
    <w:rsid w:val="00455523"/>
    <w:rsid w:val="004D1289"/>
    <w:rsid w:val="004E2C5F"/>
    <w:rsid w:val="004E4FEA"/>
    <w:rsid w:val="004F4DFF"/>
    <w:rsid w:val="004F7189"/>
    <w:rsid w:val="0056476A"/>
    <w:rsid w:val="005765B0"/>
    <w:rsid w:val="00585BCB"/>
    <w:rsid w:val="005C1E4F"/>
    <w:rsid w:val="005C6586"/>
    <w:rsid w:val="00616334"/>
    <w:rsid w:val="00623EE7"/>
    <w:rsid w:val="00634A6A"/>
    <w:rsid w:val="006353EE"/>
    <w:rsid w:val="00660B37"/>
    <w:rsid w:val="0067018F"/>
    <w:rsid w:val="0067117C"/>
    <w:rsid w:val="00675A10"/>
    <w:rsid w:val="006C7F93"/>
    <w:rsid w:val="006D7A1F"/>
    <w:rsid w:val="006F223C"/>
    <w:rsid w:val="007120E5"/>
    <w:rsid w:val="00732A94"/>
    <w:rsid w:val="00733A0E"/>
    <w:rsid w:val="007432C8"/>
    <w:rsid w:val="00763259"/>
    <w:rsid w:val="00776847"/>
    <w:rsid w:val="00795C40"/>
    <w:rsid w:val="0079728B"/>
    <w:rsid w:val="007A3D81"/>
    <w:rsid w:val="007A6325"/>
    <w:rsid w:val="007B74E9"/>
    <w:rsid w:val="007C6E66"/>
    <w:rsid w:val="007D4852"/>
    <w:rsid w:val="007D67F6"/>
    <w:rsid w:val="007F3528"/>
    <w:rsid w:val="007F49D7"/>
    <w:rsid w:val="00801D23"/>
    <w:rsid w:val="00815890"/>
    <w:rsid w:val="008211AD"/>
    <w:rsid w:val="00832224"/>
    <w:rsid w:val="0083298B"/>
    <w:rsid w:val="0084578A"/>
    <w:rsid w:val="00856A6C"/>
    <w:rsid w:val="00861B0B"/>
    <w:rsid w:val="00874623"/>
    <w:rsid w:val="00876A0C"/>
    <w:rsid w:val="008B3D0F"/>
    <w:rsid w:val="008E0E6E"/>
    <w:rsid w:val="00944C34"/>
    <w:rsid w:val="00964592"/>
    <w:rsid w:val="00970D99"/>
    <w:rsid w:val="009766F9"/>
    <w:rsid w:val="009C0553"/>
    <w:rsid w:val="009D0E47"/>
    <w:rsid w:val="00A062D0"/>
    <w:rsid w:val="00A3002E"/>
    <w:rsid w:val="00A57F7D"/>
    <w:rsid w:val="00A92E0E"/>
    <w:rsid w:val="00AA0910"/>
    <w:rsid w:val="00AA152C"/>
    <w:rsid w:val="00AB47A8"/>
    <w:rsid w:val="00AC6144"/>
    <w:rsid w:val="00AD4486"/>
    <w:rsid w:val="00AF6BCA"/>
    <w:rsid w:val="00B10D11"/>
    <w:rsid w:val="00B12DEE"/>
    <w:rsid w:val="00B16881"/>
    <w:rsid w:val="00B42726"/>
    <w:rsid w:val="00B478AD"/>
    <w:rsid w:val="00B612D0"/>
    <w:rsid w:val="00B7077D"/>
    <w:rsid w:val="00B80D9C"/>
    <w:rsid w:val="00B91F1D"/>
    <w:rsid w:val="00B95CBD"/>
    <w:rsid w:val="00BB0487"/>
    <w:rsid w:val="00BD55F9"/>
    <w:rsid w:val="00BF2435"/>
    <w:rsid w:val="00C015BD"/>
    <w:rsid w:val="00C03573"/>
    <w:rsid w:val="00C03FDD"/>
    <w:rsid w:val="00C0436E"/>
    <w:rsid w:val="00C60D33"/>
    <w:rsid w:val="00C715DD"/>
    <w:rsid w:val="00C96780"/>
    <w:rsid w:val="00CC3B4E"/>
    <w:rsid w:val="00CE5DED"/>
    <w:rsid w:val="00D035C7"/>
    <w:rsid w:val="00D5722B"/>
    <w:rsid w:val="00D6518B"/>
    <w:rsid w:val="00D7434C"/>
    <w:rsid w:val="00DB31E5"/>
    <w:rsid w:val="00DE269D"/>
    <w:rsid w:val="00E233E7"/>
    <w:rsid w:val="00E46825"/>
    <w:rsid w:val="00E47170"/>
    <w:rsid w:val="00ED616C"/>
    <w:rsid w:val="00EE5567"/>
    <w:rsid w:val="00F527BC"/>
    <w:rsid w:val="00F6675E"/>
    <w:rsid w:val="00F743CF"/>
    <w:rsid w:val="00F84433"/>
    <w:rsid w:val="00F90B02"/>
    <w:rsid w:val="00F932D5"/>
    <w:rsid w:val="00F964A8"/>
    <w:rsid w:val="00FB0BA7"/>
    <w:rsid w:val="00FB60EC"/>
    <w:rsid w:val="00FD4225"/>
    <w:rsid w:val="00FD7657"/>
    <w:rsid w:val="00FE60D8"/>
    <w:rsid w:val="2B70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0"/>
    <w:rPr>
      <w:sz w:val="18"/>
      <w:szCs w:val="18"/>
    </w:rPr>
  </w:style>
  <w:style w:type="character" w:customStyle="1" w:styleId="9">
    <w:name w:val="页脚 Char"/>
    <w:basedOn w:val="6"/>
    <w:link w:val="3"/>
    <w:uiPriority w:val="0"/>
    <w:rPr>
      <w:sz w:val="18"/>
      <w:szCs w:val="18"/>
    </w:rPr>
  </w:style>
  <w:style w:type="character" w:customStyle="1" w:styleId="10">
    <w:name w:val="批注框文本 Char"/>
    <w:basedOn w:val="6"/>
    <w:link w:val="2"/>
    <w:semiHidden/>
    <w:uiPriority w:val="0"/>
    <w:rPr>
      <w:rFonts w:ascii="Times New Roman" w:hAnsi="Times New Roman" w:eastAsia="宋体" w:cs="Times New Roman"/>
      <w:sz w:val="18"/>
      <w:szCs w:val="18"/>
    </w:rPr>
  </w:style>
  <w:style w:type="paragraph" w:customStyle="1" w:styleId="11">
    <w:name w:val="正文1"/>
    <w:basedOn w:val="1"/>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694</Words>
  <Characters>3958</Characters>
  <Lines>32</Lines>
  <Paragraphs>9</Paragraphs>
  <TotalTime>394</TotalTime>
  <ScaleCrop>false</ScaleCrop>
  <LinksUpToDate>false</LinksUpToDate>
  <CharactersWithSpaces>4643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2018-07-24T02:46:00Z</dcterms:created>
  <dc:creator>USER-</dc:creator>
  <cp:lastModifiedBy>XiaoXiao</cp:lastModifiedBy>
  <dcterms:modified xsi:type="dcterms:W3CDTF">2021-06-15T09:02:29Z</dcterms:modified>
  <cp:revision>887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B128D0869D784A5CB76DEBD8FD6296D5</vt:lpwstr>
  </property>
</Properties>
</file>